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5D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90295D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90295D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90295D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>nr tele</w:t>
            </w:r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676396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90295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90295D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5D" w:rsidRDefault="0090295D">
      <w:r>
        <w:separator/>
      </w:r>
    </w:p>
  </w:endnote>
  <w:endnote w:type="continuationSeparator" w:id="0">
    <w:p w:rsidR="0090295D" w:rsidRDefault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5D" w:rsidRDefault="0090295D">
      <w:r>
        <w:separator/>
      </w:r>
    </w:p>
  </w:footnote>
  <w:footnote w:type="continuationSeparator" w:id="0">
    <w:p w:rsidR="0090295D" w:rsidRDefault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76396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0295D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88D1A-12FF-4798-8473-F11F25FF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2019-05-08T06:17:00Z</dcterms:modified>
</cp:coreProperties>
</file>