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C5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9355C5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9355C5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9355C5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2066E2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9355C5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9355C5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C5" w:rsidRDefault="009355C5">
      <w:r>
        <w:separator/>
      </w:r>
    </w:p>
  </w:endnote>
  <w:endnote w:type="continuationSeparator" w:id="0">
    <w:p w:rsidR="009355C5" w:rsidRDefault="009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C5" w:rsidRDefault="009355C5">
      <w:r>
        <w:separator/>
      </w:r>
    </w:p>
  </w:footnote>
  <w:footnote w:type="continuationSeparator" w:id="0">
    <w:p w:rsidR="009355C5" w:rsidRDefault="0093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066E2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355C5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CA9A-5DF6-418F-B268-CB55BD71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2019-05-08T06:12:00Z</dcterms:modified>
</cp:coreProperties>
</file>