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</w:t>
      </w:r>
      <w:r w:rsidR="00F95BC3" w:rsidRPr="00F5357E">
        <w:rPr>
          <w:rFonts w:asciiTheme="majorHAnsi" w:hAnsiTheme="majorHAnsi"/>
          <w:sz w:val="20"/>
          <w:szCs w:val="20"/>
        </w:rPr>
        <w:t>3610/</w:t>
      </w:r>
      <w:r w:rsidR="00D715F6">
        <w:rPr>
          <w:rFonts w:asciiTheme="majorHAnsi" w:hAnsiTheme="majorHAnsi"/>
          <w:sz w:val="20"/>
          <w:szCs w:val="20"/>
        </w:rPr>
        <w:t>15</w:t>
      </w:r>
      <w:r w:rsidR="00675A47" w:rsidRPr="00F5357E">
        <w:rPr>
          <w:rFonts w:asciiTheme="majorHAnsi" w:hAnsiTheme="majorHAnsi"/>
          <w:sz w:val="20"/>
          <w:szCs w:val="20"/>
        </w:rPr>
        <w:t>/</w:t>
      </w:r>
      <w:r w:rsidR="00F95BC3" w:rsidRPr="00F5357E">
        <w:rPr>
          <w:rFonts w:asciiTheme="majorHAnsi" w:hAnsiTheme="majorHAnsi"/>
          <w:sz w:val="20"/>
          <w:szCs w:val="20"/>
        </w:rPr>
        <w:t>19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 w:rsidR="00F5357E">
        <w:rPr>
          <w:rFonts w:asciiTheme="majorHAnsi" w:hAnsiTheme="majorHAnsi"/>
          <w:sz w:val="20"/>
          <w:szCs w:val="20"/>
        </w:rPr>
        <w:t xml:space="preserve">                         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6364D5">
        <w:rPr>
          <w:rFonts w:asciiTheme="majorHAnsi" w:hAnsiTheme="majorHAnsi"/>
          <w:sz w:val="20"/>
          <w:szCs w:val="20"/>
        </w:rPr>
        <w:t xml:space="preserve">11 września </w:t>
      </w:r>
      <w:r w:rsidR="006F4FAA" w:rsidRPr="007A0FF4">
        <w:rPr>
          <w:rFonts w:asciiTheme="majorHAnsi" w:hAnsiTheme="majorHAnsi"/>
          <w:sz w:val="20"/>
          <w:szCs w:val="20"/>
        </w:rPr>
        <w:t>2019 r.</w:t>
      </w:r>
    </w:p>
    <w:p w:rsidR="003479FE" w:rsidRPr="007A0FF4" w:rsidRDefault="003479FE" w:rsidP="003479FE">
      <w:pPr>
        <w:rPr>
          <w:rFonts w:asciiTheme="majorHAnsi" w:hAnsiTheme="majorHAnsi"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2014-2020 dla EFS, Oś 9. Włączenie społeczne i </w:t>
      </w:r>
      <w:bookmarkStart w:id="0" w:name="_GoBack"/>
      <w:r w:rsidRPr="003313B8">
        <w:rPr>
          <w:rFonts w:asciiTheme="majorHAnsi" w:hAnsiTheme="majorHAnsi"/>
        </w:rPr>
        <w:t>walka z ubóstwem, Działanie 9.2 Ułatwienie dostępu do wysokiej jakości usług społecznych i zdrowotnych</w:t>
      </w:r>
      <w:bookmarkEnd w:id="0"/>
      <w:r w:rsidRPr="003313B8">
        <w:rPr>
          <w:rFonts w:asciiTheme="majorHAnsi" w:hAnsiTheme="majorHAnsi"/>
        </w:rPr>
        <w:t>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1" w:name="_Ref10368005"/>
      <w:r w:rsidRPr="003313B8">
        <w:rPr>
          <w:rFonts w:asciiTheme="majorHAnsi" w:hAnsiTheme="majorHAnsi" w:cs="Times New Roman"/>
        </w:rPr>
        <w:t>Zamawiający:</w:t>
      </w:r>
      <w:bookmarkEnd w:id="1"/>
      <w:r w:rsidRPr="003313B8">
        <w:rPr>
          <w:rFonts w:asciiTheme="majorHAnsi" w:hAnsiTheme="majorHAnsi" w:cs="Times New Roman"/>
        </w:rPr>
        <w:t xml:space="preserve"> 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:rsidR="00870CEB" w:rsidRPr="00F5357E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F5357E">
        <w:rPr>
          <w:rFonts w:asciiTheme="majorHAnsi" w:hAnsiTheme="majorHAnsi"/>
          <w:b/>
        </w:rPr>
        <w:t xml:space="preserve">Zamawiający zastrzega, że o udzielenie </w:t>
      </w:r>
      <w:r w:rsidR="00CE0691" w:rsidRPr="00F5357E">
        <w:rPr>
          <w:rFonts w:asciiTheme="majorHAnsi" w:hAnsiTheme="majorHAnsi"/>
          <w:b/>
        </w:rPr>
        <w:t>zamówienia</w:t>
      </w:r>
      <w:r w:rsidRPr="00F5357E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F5357E">
        <w:rPr>
          <w:rFonts w:asciiTheme="majorHAnsi" w:hAnsiTheme="majorHAnsi"/>
          <w:b/>
        </w:rPr>
        <w:t>w zakresie przedmiotu zamówienia</w:t>
      </w:r>
      <w:r w:rsidR="00725BC1" w:rsidRPr="00F5357E">
        <w:rPr>
          <w:rFonts w:asciiTheme="majorHAnsi" w:hAnsiTheme="majorHAnsi"/>
          <w:b/>
        </w:rPr>
        <w:t xml:space="preserve"> </w:t>
      </w:r>
      <w:r w:rsidRPr="00F5357E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F1259D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</w:t>
      </w:r>
      <w:r w:rsidR="00B243D7">
        <w:rPr>
          <w:rFonts w:asciiTheme="majorHAnsi" w:hAnsiTheme="majorHAnsi"/>
        </w:rPr>
        <w:t>blikowana na stronie Zamawiającego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 xml:space="preserve">. Jeżeli </w:t>
      </w:r>
      <w:r w:rsidR="00B243D7">
        <w:rPr>
          <w:rFonts w:asciiTheme="majorHAnsi" w:hAnsiTheme="majorHAnsi"/>
        </w:rPr>
        <w:t>wprowadzone zmiany lub uzupełnie</w:t>
      </w:r>
      <w:r w:rsidRPr="003313B8">
        <w:rPr>
          <w:rFonts w:asciiTheme="majorHAnsi" w:hAnsiTheme="majorHAnsi"/>
        </w:rPr>
        <w:t>nia treści zapytania ofertowego będą wymagały zmiany treści ofert, Zamawiający przedłuży termin skład</w:t>
      </w:r>
      <w:r w:rsidR="00B243D7">
        <w:rPr>
          <w:rFonts w:asciiTheme="majorHAnsi" w:hAnsiTheme="majorHAnsi"/>
        </w:rPr>
        <w:t>a</w:t>
      </w:r>
      <w:r w:rsidRPr="003313B8">
        <w:rPr>
          <w:rFonts w:asciiTheme="majorHAnsi" w:hAnsiTheme="majorHAnsi"/>
        </w:rPr>
        <w:t>nia ofert.</w:t>
      </w:r>
    </w:p>
    <w:p w:rsidR="00F5357E" w:rsidRPr="006364D5" w:rsidRDefault="003479FE" w:rsidP="00D715F6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</w:rPr>
        <w:lastRenderedPageBreak/>
        <w:t>Przedmiot</w:t>
      </w:r>
      <w:r w:rsidR="00E51D6B">
        <w:rPr>
          <w:rFonts w:asciiTheme="majorHAnsi" w:hAnsiTheme="majorHAnsi"/>
        </w:rPr>
        <w:t>em</w:t>
      </w:r>
      <w:r w:rsidRPr="003313B8">
        <w:rPr>
          <w:rFonts w:asciiTheme="majorHAnsi" w:hAnsiTheme="majorHAnsi"/>
        </w:rPr>
        <w:t xml:space="preserve"> zamówienia</w:t>
      </w:r>
      <w:r w:rsidR="00E51D6B">
        <w:rPr>
          <w:rFonts w:asciiTheme="majorHAnsi" w:hAnsiTheme="majorHAnsi"/>
        </w:rPr>
        <w:t xml:space="preserve"> jest</w:t>
      </w:r>
      <w:r w:rsidR="00F5357E">
        <w:rPr>
          <w:rFonts w:asciiTheme="majorHAnsi" w:hAnsiTheme="majorHAnsi"/>
        </w:rPr>
        <w:t xml:space="preserve"> </w:t>
      </w:r>
      <w:r w:rsidR="00D715F6" w:rsidRPr="00D715F6">
        <w:rPr>
          <w:rFonts w:asciiTheme="majorHAnsi" w:hAnsiTheme="majorHAnsi"/>
        </w:rPr>
        <w:t>zakup i dostawa</w:t>
      </w:r>
      <w:r w:rsidR="00D715F6">
        <w:rPr>
          <w:rFonts w:asciiTheme="majorHAnsi" w:hAnsiTheme="majorHAnsi"/>
          <w:b/>
        </w:rPr>
        <w:t xml:space="preserve"> </w:t>
      </w:r>
      <w:r w:rsidR="006364D5">
        <w:rPr>
          <w:rFonts w:asciiTheme="majorHAnsi" w:hAnsiTheme="majorHAnsi"/>
        </w:rPr>
        <w:t xml:space="preserve">dla max. 16 uczestników </w:t>
      </w:r>
      <w:r w:rsidR="00D715F6">
        <w:rPr>
          <w:rFonts w:asciiTheme="majorHAnsi" w:hAnsiTheme="majorHAnsi"/>
        </w:rPr>
        <w:t xml:space="preserve">biletów wstępu </w:t>
      </w:r>
      <w:r w:rsidR="00D715F6">
        <w:rPr>
          <w:rFonts w:asciiTheme="majorHAnsi" w:hAnsiTheme="majorHAnsi"/>
        </w:rPr>
        <w:br/>
        <w:t xml:space="preserve">do Żywego Muzeum Porcelany w dniu 15 października 2019 r. dla uczestników </w:t>
      </w:r>
      <w:r w:rsidR="00F5357E">
        <w:rPr>
          <w:rFonts w:asciiTheme="majorHAnsi" w:hAnsiTheme="majorHAnsi"/>
        </w:rPr>
        <w:t xml:space="preserve">projektu BEZ BARIER </w:t>
      </w:r>
      <w:r w:rsidR="00D715F6">
        <w:rPr>
          <w:rFonts w:asciiTheme="majorHAnsi" w:hAnsiTheme="majorHAnsi"/>
        </w:rPr>
        <w:br/>
      </w:r>
    </w:p>
    <w:p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:rsidR="007B7A5D" w:rsidRPr="006364D5" w:rsidRDefault="006364D5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  <w:b/>
        </w:rPr>
      </w:pPr>
      <w:r w:rsidRPr="006364D5">
        <w:rPr>
          <w:rFonts w:asciiTheme="majorHAnsi" w:hAnsiTheme="majorHAnsi" w:cs="Times New Roman"/>
          <w:b/>
        </w:rPr>
        <w:t>15 października 2019 r.</w:t>
      </w:r>
    </w:p>
    <w:p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:rsidR="007E6108" w:rsidRPr="00A974FA" w:rsidRDefault="00F357EA" w:rsidP="00A974F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A974FA">
        <w:rPr>
          <w:rFonts w:asciiTheme="majorHAnsi" w:hAnsiTheme="majorHAnsi"/>
        </w:rPr>
        <w:t xml:space="preserve">Kryteria oceny ofert: </w:t>
      </w:r>
    </w:p>
    <w:p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:rsidR="00F357EA" w:rsidRPr="003313B8" w:rsidRDefault="00A974FA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14680" w:rsidRPr="003313B8" w:rsidRDefault="00214680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B52D96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0 pkt otrzyma Wykonawca zamówienia bądź osoby, które będą uczestniczyć w wykonywaniu zamówienia które są osobami niepełnosprawnymi. Do załącznika nr </w:t>
            </w:r>
            <w:r w:rsidR="00A974FA">
              <w:rPr>
                <w:rFonts w:asciiTheme="majorHAnsi" w:hAnsiTheme="majorHAnsi"/>
              </w:rPr>
              <w:t>1</w:t>
            </w:r>
            <w:r w:rsidR="00347194" w:rsidRPr="003313B8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:rsidR="00F95BC3" w:rsidRPr="003313B8" w:rsidRDefault="0034719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7A0FF4" w:rsidRPr="003313B8" w:rsidRDefault="007A0FF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podana w ofercie powinna być cena brutto tzn. powinna obejmować wszystkie koszty </w:t>
      </w:r>
      <w:r w:rsidR="00675A47">
        <w:rPr>
          <w:rFonts w:asciiTheme="majorHAnsi" w:hAnsiTheme="majorHAnsi"/>
        </w:rPr>
        <w:t>w</w:t>
      </w:r>
      <w:r w:rsidR="007A0FF4" w:rsidRPr="003313B8">
        <w:rPr>
          <w:rFonts w:asciiTheme="majorHAnsi" w:hAnsiTheme="majorHAnsi"/>
        </w:rPr>
        <w:t xml:space="preserve">ykonawcy związane z </w:t>
      </w:r>
      <w:r w:rsidR="007804E8" w:rsidRPr="003313B8">
        <w:rPr>
          <w:rFonts w:asciiTheme="majorHAnsi" w:hAnsiTheme="majorHAnsi"/>
        </w:rPr>
        <w:t>realizacja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>
        <w:rPr>
          <w:rFonts w:asciiTheme="majorHAnsi" w:hAnsiTheme="majorHAnsi"/>
        </w:rPr>
        <w:t>ty i rabaty skalkulowane przez W</w:t>
      </w:r>
      <w:r w:rsidR="007804E8" w:rsidRPr="003313B8">
        <w:rPr>
          <w:rFonts w:asciiTheme="majorHAnsi" w:hAnsiTheme="majorHAnsi"/>
        </w:rPr>
        <w:t>ykonawcę;</w:t>
      </w:r>
    </w:p>
    <w:p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:rsidR="003313B8" w:rsidRPr="003A4290" w:rsidRDefault="00B3720E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6364D5">
        <w:rPr>
          <w:rFonts w:asciiTheme="majorHAnsi" w:hAnsiTheme="majorHAnsi"/>
          <w:b/>
        </w:rPr>
        <w:t xml:space="preserve">18 września </w:t>
      </w:r>
      <w:r w:rsidRPr="003313B8">
        <w:rPr>
          <w:rFonts w:asciiTheme="majorHAnsi" w:hAnsiTheme="majorHAnsi"/>
          <w:b/>
        </w:rPr>
        <w:t xml:space="preserve"> 2019 r.</w:t>
      </w:r>
      <w:r w:rsidRPr="003313B8">
        <w:rPr>
          <w:rFonts w:asciiTheme="majorHAnsi" w:hAnsiTheme="majorHAnsi"/>
        </w:rPr>
        <w:t xml:space="preserve"> </w:t>
      </w:r>
    </w:p>
    <w:p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D715F6">
        <w:rPr>
          <w:rFonts w:asciiTheme="majorHAnsi" w:hAnsiTheme="majorHAnsi" w:cs="Times New Roman"/>
          <w:b/>
        </w:rPr>
        <w:t>Zakup i dostawa biletów wstępu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:rsidR="003C06C7" w:rsidRPr="003313B8" w:rsidRDefault="003C06C7" w:rsidP="0021468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10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135FA6" w:rsidRPr="003313B8" w:rsidRDefault="008F0800" w:rsidP="00A974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lastRenderedPageBreak/>
        <w:t>Klauzula informacyjna:</w:t>
      </w:r>
    </w:p>
    <w:p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11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oraz nr telefonu 575-001-259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 xml:space="preserve">Wyjaśnienie: prawo do ograniczenia przetwarzania nie ma zastosowania w odniesieniu do przechowywania w celu zapewniania korzystania ze </w:t>
      </w:r>
      <w:r w:rsidRPr="003313B8">
        <w:rPr>
          <w:rFonts w:asciiTheme="majorHAnsi" w:hAnsiTheme="majorHAnsi"/>
          <w:i/>
          <w:sz w:val="22"/>
          <w:szCs w:val="22"/>
        </w:rPr>
        <w:lastRenderedPageBreak/>
        <w:t>środków ochrony prawnej lub w celu ochrony praw innej osoby fizycznej lub prawnej, lub z uwagi na ważne względy interesu publicznego Unii Europejskiej lub państwa członkowskiego);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:rsidR="00697E64" w:rsidRPr="003313B8" w:rsidRDefault="00697E64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</w:t>
      </w:r>
      <w:r w:rsidR="00A974FA">
        <w:rPr>
          <w:rFonts w:asciiTheme="majorHAnsi" w:hAnsiTheme="majorHAnsi"/>
        </w:rPr>
        <w:t>anych osobowych – Załącznik nr 2</w:t>
      </w:r>
    </w:p>
    <w:p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DB" w:rsidRDefault="00875BDB" w:rsidP="003479FE">
      <w:pPr>
        <w:spacing w:after="0" w:line="240" w:lineRule="auto"/>
      </w:pPr>
      <w:r>
        <w:separator/>
      </w:r>
    </w:p>
  </w:endnote>
  <w:endnote w:type="continuationSeparator" w:id="0">
    <w:p w:rsidR="00875BDB" w:rsidRDefault="00875BDB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DB" w:rsidRDefault="00875BDB" w:rsidP="003479FE">
      <w:pPr>
        <w:spacing w:after="0" w:line="240" w:lineRule="auto"/>
      </w:pPr>
      <w:r>
        <w:separator/>
      </w:r>
    </w:p>
  </w:footnote>
  <w:footnote w:type="continuationSeparator" w:id="0">
    <w:p w:rsidR="00875BDB" w:rsidRDefault="00875BDB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:rsidTr="00214680">
      <w:tblPrEx>
        <w:jc w:val="center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B715C"/>
    <w:rsid w:val="000C7F91"/>
    <w:rsid w:val="00135FA6"/>
    <w:rsid w:val="00137647"/>
    <w:rsid w:val="0014078F"/>
    <w:rsid w:val="00144D0F"/>
    <w:rsid w:val="00146072"/>
    <w:rsid w:val="00172B6E"/>
    <w:rsid w:val="00197601"/>
    <w:rsid w:val="001B54F6"/>
    <w:rsid w:val="001D03CF"/>
    <w:rsid w:val="001E346E"/>
    <w:rsid w:val="001F7EF7"/>
    <w:rsid w:val="00214680"/>
    <w:rsid w:val="00234CA2"/>
    <w:rsid w:val="00255E2C"/>
    <w:rsid w:val="002D1BF6"/>
    <w:rsid w:val="002E4496"/>
    <w:rsid w:val="002F16EF"/>
    <w:rsid w:val="003010BE"/>
    <w:rsid w:val="003313B8"/>
    <w:rsid w:val="003445D2"/>
    <w:rsid w:val="00347194"/>
    <w:rsid w:val="003479FE"/>
    <w:rsid w:val="003A4290"/>
    <w:rsid w:val="003C06C7"/>
    <w:rsid w:val="00415844"/>
    <w:rsid w:val="00417991"/>
    <w:rsid w:val="004423DD"/>
    <w:rsid w:val="0046007F"/>
    <w:rsid w:val="00482D44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44AD5"/>
    <w:rsid w:val="0057040B"/>
    <w:rsid w:val="0057411D"/>
    <w:rsid w:val="005A6307"/>
    <w:rsid w:val="005C5C53"/>
    <w:rsid w:val="005D1FF5"/>
    <w:rsid w:val="005D21E3"/>
    <w:rsid w:val="005E2B38"/>
    <w:rsid w:val="005E7201"/>
    <w:rsid w:val="00625968"/>
    <w:rsid w:val="006364D5"/>
    <w:rsid w:val="00675A47"/>
    <w:rsid w:val="00697E64"/>
    <w:rsid w:val="006A55C0"/>
    <w:rsid w:val="006B2529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4FEC"/>
    <w:rsid w:val="007E6108"/>
    <w:rsid w:val="00800CCF"/>
    <w:rsid w:val="008624F4"/>
    <w:rsid w:val="00870CEB"/>
    <w:rsid w:val="00872EED"/>
    <w:rsid w:val="00875BDB"/>
    <w:rsid w:val="008A4977"/>
    <w:rsid w:val="008A7407"/>
    <w:rsid w:val="008B4595"/>
    <w:rsid w:val="008C0D07"/>
    <w:rsid w:val="008C30FC"/>
    <w:rsid w:val="008C7910"/>
    <w:rsid w:val="008E7C3D"/>
    <w:rsid w:val="008F0800"/>
    <w:rsid w:val="009208E0"/>
    <w:rsid w:val="009342F0"/>
    <w:rsid w:val="00952CA6"/>
    <w:rsid w:val="0095787C"/>
    <w:rsid w:val="00982565"/>
    <w:rsid w:val="009A6FF6"/>
    <w:rsid w:val="009C3FA9"/>
    <w:rsid w:val="00A222E9"/>
    <w:rsid w:val="00A34F00"/>
    <w:rsid w:val="00A361F0"/>
    <w:rsid w:val="00A40BF5"/>
    <w:rsid w:val="00A629FA"/>
    <w:rsid w:val="00A743E3"/>
    <w:rsid w:val="00A86505"/>
    <w:rsid w:val="00A967B9"/>
    <w:rsid w:val="00A974FA"/>
    <w:rsid w:val="00AA7FAC"/>
    <w:rsid w:val="00AB2CAD"/>
    <w:rsid w:val="00AF0809"/>
    <w:rsid w:val="00B154ED"/>
    <w:rsid w:val="00B243D7"/>
    <w:rsid w:val="00B3720E"/>
    <w:rsid w:val="00B52D96"/>
    <w:rsid w:val="00B91178"/>
    <w:rsid w:val="00BB31E4"/>
    <w:rsid w:val="00BB6AF7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43F18"/>
    <w:rsid w:val="00D554E0"/>
    <w:rsid w:val="00D633C5"/>
    <w:rsid w:val="00D6367F"/>
    <w:rsid w:val="00D6378F"/>
    <w:rsid w:val="00D715F6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F02C8"/>
    <w:rsid w:val="00F1259D"/>
    <w:rsid w:val="00F20197"/>
    <w:rsid w:val="00F357EA"/>
    <w:rsid w:val="00F5357E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r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pcprwloszcz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pcprwloszcz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A84D-6142-4B05-81D9-71FB56B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2019-09-11T06:46:00Z</cp:lastPrinted>
  <dcterms:created xsi:type="dcterms:W3CDTF">2019-09-11T06:46:00Z</dcterms:created>
  <dcterms:modified xsi:type="dcterms:W3CDTF">2019-09-11T06:46:00Z</dcterms:modified>
</cp:coreProperties>
</file>